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E789" w14:textId="17CD82BF" w:rsidR="002E5CC0" w:rsidRPr="00800272" w:rsidRDefault="002E5CC0" w:rsidP="00800272">
      <w:pPr>
        <w:suppressAutoHyphens/>
        <w:autoSpaceDN w:val="0"/>
        <w:spacing w:after="0" w:line="240" w:lineRule="auto"/>
        <w:textAlignment w:val="baseline"/>
        <w:rPr>
          <w:rFonts w:cstheme="minorHAnsi"/>
          <w:lang w:val="mk-MK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018"/>
        <w:gridCol w:w="2626"/>
        <w:gridCol w:w="4171"/>
        <w:gridCol w:w="5680"/>
      </w:tblGrid>
      <w:tr w:rsidR="00CC742B" w:rsidRPr="00800272" w14:paraId="7620CAAD" w14:textId="77777777" w:rsidTr="007A1B6D">
        <w:tc>
          <w:tcPr>
            <w:tcW w:w="1018" w:type="dxa"/>
          </w:tcPr>
          <w:p w14:paraId="1C0C4B1D" w14:textId="77777777" w:rsidR="00CC742B" w:rsidRPr="00800272" w:rsidRDefault="00CC742B">
            <w:pPr>
              <w:rPr>
                <w:rFonts w:ascii="Times New Roman" w:hAnsi="Times New Roman" w:cs="Times New Roman"/>
                <w:b/>
                <w:lang w:val="mk-MK"/>
              </w:rPr>
            </w:pPr>
            <w:proofErr w:type="spellStart"/>
            <w:r w:rsidRPr="00800272">
              <w:rPr>
                <w:rFonts w:ascii="Times New Roman" w:hAnsi="Times New Roman" w:cs="Times New Roman"/>
                <w:b/>
                <w:lang w:val="mk-MK"/>
              </w:rPr>
              <w:t>Ред.бр</w:t>
            </w:r>
            <w:proofErr w:type="spellEnd"/>
            <w:r w:rsidRPr="00800272">
              <w:rPr>
                <w:rFonts w:ascii="Times New Roman" w:hAnsi="Times New Roman" w:cs="Times New Roman"/>
                <w:b/>
                <w:lang w:val="mk-MK"/>
              </w:rPr>
              <w:t>.</w:t>
            </w:r>
          </w:p>
        </w:tc>
        <w:tc>
          <w:tcPr>
            <w:tcW w:w="2626" w:type="dxa"/>
          </w:tcPr>
          <w:p w14:paraId="1EAA50EF" w14:textId="77777777" w:rsidR="00CC742B" w:rsidRPr="00800272" w:rsidRDefault="00CC742B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800272">
              <w:rPr>
                <w:rFonts w:ascii="Times New Roman" w:hAnsi="Times New Roman" w:cs="Times New Roman"/>
                <w:b/>
                <w:lang w:val="mk-MK"/>
              </w:rPr>
              <w:t>Број на член од законот</w:t>
            </w:r>
          </w:p>
        </w:tc>
        <w:tc>
          <w:tcPr>
            <w:tcW w:w="4171" w:type="dxa"/>
          </w:tcPr>
          <w:p w14:paraId="06EF998C" w14:textId="77777777" w:rsidR="00CC742B" w:rsidRPr="00800272" w:rsidRDefault="00CC742B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800272">
              <w:rPr>
                <w:rFonts w:ascii="Times New Roman" w:hAnsi="Times New Roman" w:cs="Times New Roman"/>
                <w:b/>
                <w:lang w:val="mk-MK"/>
              </w:rPr>
              <w:t>Текст на членот од законот како што е предвидено</w:t>
            </w:r>
          </w:p>
        </w:tc>
        <w:tc>
          <w:tcPr>
            <w:tcW w:w="5680" w:type="dxa"/>
          </w:tcPr>
          <w:p w14:paraId="30E25698" w14:textId="77777777" w:rsidR="00CC742B" w:rsidRPr="00800272" w:rsidRDefault="00CC742B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800272">
              <w:rPr>
                <w:rFonts w:ascii="Times New Roman" w:hAnsi="Times New Roman" w:cs="Times New Roman"/>
                <w:b/>
                <w:lang w:val="mk-MK"/>
              </w:rPr>
              <w:t>Текст на забелешката</w:t>
            </w:r>
          </w:p>
        </w:tc>
      </w:tr>
      <w:tr w:rsidR="00C4606F" w:rsidRPr="00800272" w14:paraId="6D8F77DE" w14:textId="77777777" w:rsidTr="007A1B6D">
        <w:tc>
          <w:tcPr>
            <w:tcW w:w="1018" w:type="dxa"/>
          </w:tcPr>
          <w:p w14:paraId="630C374C" w14:textId="533608B2" w:rsidR="00C4606F" w:rsidRPr="00800272" w:rsidRDefault="00B61EEF" w:rsidP="00C4606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606F" w:rsidRPr="00800272">
              <w:rPr>
                <w:rFonts w:ascii="Times New Roman" w:hAnsi="Times New Roman" w:cs="Times New Roman"/>
                <w:lang w:val="mk-MK"/>
              </w:rPr>
              <w:t xml:space="preserve">. </w:t>
            </w:r>
          </w:p>
        </w:tc>
        <w:tc>
          <w:tcPr>
            <w:tcW w:w="2626" w:type="dxa"/>
          </w:tcPr>
          <w:p w14:paraId="21336003" w14:textId="77777777" w:rsidR="00C4606F" w:rsidRPr="0080019B" w:rsidRDefault="00C4606F" w:rsidP="00C4606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80019B">
              <w:rPr>
                <w:rFonts w:ascii="Times New Roman" w:hAnsi="Times New Roman" w:cs="Times New Roman"/>
                <w:b/>
                <w:kern w:val="3"/>
                <w:lang w:val="mk-MK"/>
              </w:rPr>
              <w:t>Член 59</w:t>
            </w:r>
            <w:r>
              <w:rPr>
                <w:rFonts w:ascii="Times New Roman" w:hAnsi="Times New Roman" w:cs="Times New Roman"/>
                <w:b/>
                <w:kern w:val="3"/>
              </w:rPr>
              <w:t xml:space="preserve"> </w:t>
            </w:r>
            <w:r w:rsidRPr="00800272">
              <w:rPr>
                <w:rFonts w:ascii="Times New Roman" w:hAnsi="Times New Roman" w:cs="Times New Roman"/>
                <w:b/>
                <w:kern w:val="3"/>
                <w:lang w:val="mk-MK"/>
              </w:rPr>
              <w:t xml:space="preserve">точка </w:t>
            </w:r>
            <w:r>
              <w:rPr>
                <w:rFonts w:ascii="Times New Roman" w:hAnsi="Times New Roman" w:cs="Times New Roman"/>
                <w:b/>
                <w:kern w:val="3"/>
              </w:rPr>
              <w:t>(2</w:t>
            </w:r>
            <w:r w:rsidRPr="00800272">
              <w:rPr>
                <w:rFonts w:ascii="Times New Roman" w:hAnsi="Times New Roman" w:cs="Times New Roman"/>
                <w:b/>
                <w:kern w:val="3"/>
              </w:rPr>
              <w:t>)</w:t>
            </w:r>
          </w:p>
          <w:p w14:paraId="6E1CE55D" w14:textId="77777777" w:rsidR="00C4606F" w:rsidRPr="00800272" w:rsidRDefault="00C4606F" w:rsidP="00C4606F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4171" w:type="dxa"/>
          </w:tcPr>
          <w:p w14:paraId="0167BE7D" w14:textId="77777777" w:rsidR="00C4606F" w:rsidRPr="0080019B" w:rsidRDefault="00C4606F" w:rsidP="00C4606F">
            <w:pPr>
              <w:widowControl w:val="0"/>
              <w:suppressAutoHyphens/>
              <w:autoSpaceDN w:val="0"/>
              <w:ind w:right="114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80019B">
              <w:rPr>
                <w:rFonts w:ascii="Times New Roman" w:hAnsi="Times New Roman" w:cs="Times New Roman"/>
                <w:kern w:val="3"/>
              </w:rPr>
              <w:t xml:space="preserve"> (1)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Кога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биолошки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лек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сличен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референтниот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биолошки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лек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ја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исполнува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дефиницијата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за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генерички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лек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заради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разликите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во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суровините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или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процесот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производство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во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однос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референтниот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биолошки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лек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,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подносителот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барањето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е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должен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достави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резултати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и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сопствени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претклинички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или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клинички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испитувања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>.</w:t>
            </w:r>
          </w:p>
          <w:p w14:paraId="04038539" w14:textId="77777777" w:rsidR="00C4606F" w:rsidRPr="0080019B" w:rsidRDefault="00C4606F" w:rsidP="00C4606F">
            <w:pPr>
              <w:widowControl w:val="0"/>
              <w:suppressAutoHyphens/>
              <w:autoSpaceDN w:val="0"/>
              <w:ind w:right="114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80019B">
              <w:rPr>
                <w:rFonts w:ascii="Times New Roman" w:hAnsi="Times New Roman" w:cs="Times New Roman"/>
                <w:kern w:val="3"/>
              </w:rPr>
              <w:t xml:space="preserve">(2)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Покрај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документацијата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став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(1)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овој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член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,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за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издавање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одобрение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за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биолошки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сличен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лек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,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подносителот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барањето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доставува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и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одобрение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добиено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ЕМА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централизирана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постапка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>.</w:t>
            </w:r>
          </w:p>
          <w:p w14:paraId="65980C28" w14:textId="4AF7042B" w:rsidR="00C4606F" w:rsidRPr="00800272" w:rsidRDefault="00C4606F" w:rsidP="00C4606F">
            <w:pPr>
              <w:widowControl w:val="0"/>
              <w:suppressAutoHyphens/>
              <w:autoSpaceDN w:val="0"/>
              <w:ind w:right="114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0" w:type="dxa"/>
          </w:tcPr>
          <w:p w14:paraId="11D9DA11" w14:textId="2C706AF4" w:rsidR="00C4606F" w:rsidRPr="00C4606F" w:rsidRDefault="00C4606F" w:rsidP="00E84A99">
            <w:pPr>
              <w:widowControl w:val="0"/>
              <w:suppressAutoHyphens/>
              <w:autoSpaceDN w:val="0"/>
              <w:ind w:right="114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ДА СЕ ИЗМЕНИ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80019B">
              <w:rPr>
                <w:rFonts w:ascii="Times New Roman" w:hAnsi="Times New Roman" w:cs="Times New Roman"/>
                <w:kern w:val="3"/>
              </w:rPr>
              <w:t xml:space="preserve">(2)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Покрај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документацијата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став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(1)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овој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член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,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за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издавање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одобрение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за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биолошки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сличен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лек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,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подносителот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барањето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доставува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и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одобрение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добиено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C4606F">
              <w:rPr>
                <w:rFonts w:ascii="Times New Roman" w:hAnsi="Times New Roman" w:cs="Times New Roman"/>
                <w:i/>
                <w:color w:val="FF0000"/>
                <w:lang w:val="mk-MK"/>
              </w:rPr>
              <w:t>во зем</w:t>
            </w:r>
            <w:r>
              <w:rPr>
                <w:rFonts w:ascii="Times New Roman" w:hAnsi="Times New Roman" w:cs="Times New Roman"/>
                <w:i/>
                <w:color w:val="FF0000"/>
                <w:lang w:val="mk-MK"/>
              </w:rPr>
              <w:t>јите-членки на Европската унија</w:t>
            </w:r>
            <w:r w:rsidRPr="00C4606F">
              <w:rPr>
                <w:rFonts w:ascii="Times New Roman" w:hAnsi="Times New Roman" w:cs="Times New Roman"/>
                <w:i/>
                <w:color w:val="FF0000"/>
                <w:lang w:val="mk-MK"/>
              </w:rPr>
              <w:t xml:space="preserve"> </w:t>
            </w:r>
            <w:proofErr w:type="spellStart"/>
            <w:r w:rsidRPr="00C4606F">
              <w:rPr>
                <w:rFonts w:ascii="Times New Roman" w:hAnsi="Times New Roman" w:cs="Times New Roman"/>
                <w:strike/>
                <w:kern w:val="3"/>
              </w:rPr>
              <w:t>од</w:t>
            </w:r>
            <w:proofErr w:type="spellEnd"/>
            <w:r w:rsidRPr="00C4606F">
              <w:rPr>
                <w:rFonts w:ascii="Times New Roman" w:hAnsi="Times New Roman" w:cs="Times New Roman"/>
                <w:strike/>
                <w:kern w:val="3"/>
              </w:rPr>
              <w:t xml:space="preserve"> ЕМА</w:t>
            </w:r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со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централизирана</w:t>
            </w:r>
            <w:proofErr w:type="spellEnd"/>
            <w:r w:rsidRPr="0080019B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80019B">
              <w:rPr>
                <w:rFonts w:ascii="Times New Roman" w:hAnsi="Times New Roman" w:cs="Times New Roman"/>
                <w:kern w:val="3"/>
              </w:rPr>
              <w:t>постапка</w:t>
            </w:r>
            <w:proofErr w:type="spellEnd"/>
            <w:r>
              <w:rPr>
                <w:rFonts w:ascii="Times New Roman" w:hAnsi="Times New Roman" w:cs="Times New Roman"/>
                <w:kern w:val="3"/>
              </w:rPr>
              <w:t xml:space="preserve">, </w:t>
            </w:r>
            <w:r w:rsidRPr="00C4606F">
              <w:rPr>
                <w:rFonts w:ascii="Times New Roman" w:hAnsi="Times New Roman" w:cs="Times New Roman"/>
                <w:i/>
                <w:color w:val="FF0000"/>
                <w:lang w:val="mk-MK"/>
              </w:rPr>
              <w:t>постапка со меѓусебно признавање или децентрализирана постапка</w:t>
            </w:r>
            <w:r>
              <w:t xml:space="preserve"> </w:t>
            </w:r>
            <w:r w:rsidRPr="00C4606F">
              <w:rPr>
                <w:rFonts w:ascii="Times New Roman" w:hAnsi="Times New Roman" w:cs="Times New Roman"/>
                <w:i/>
                <w:color w:val="FF0000"/>
                <w:lang w:val="mk-MK"/>
              </w:rPr>
              <w:t>или национална постапка од земја членка на Европската Унија.</w:t>
            </w:r>
          </w:p>
        </w:tc>
      </w:tr>
    </w:tbl>
    <w:p w14:paraId="2F467192" w14:textId="77777777" w:rsidR="00CC742B" w:rsidRPr="007A20F6" w:rsidRDefault="00CC742B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CC742B" w:rsidRPr="007A20F6" w:rsidSect="00CC7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BE6"/>
    <w:multiLevelType w:val="multilevel"/>
    <w:tmpl w:val="7492A7A2"/>
    <w:styleLink w:val="WWNum38"/>
    <w:lvl w:ilvl="0">
      <w:numFmt w:val="bullet"/>
      <w:lvlText w:val="-"/>
      <w:lvlJc w:val="left"/>
      <w:pPr>
        <w:ind w:left="144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18319FB"/>
    <w:multiLevelType w:val="hybridMultilevel"/>
    <w:tmpl w:val="D7463576"/>
    <w:lvl w:ilvl="0" w:tplc="A18CF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92E42"/>
    <w:multiLevelType w:val="multilevel"/>
    <w:tmpl w:val="B4E2AF90"/>
    <w:styleLink w:val="WWNum49"/>
    <w:lvl w:ilvl="0">
      <w:numFmt w:val="bullet"/>
      <w:lvlText w:val="-"/>
      <w:lvlJc w:val="left"/>
      <w:pPr>
        <w:ind w:left="644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3926249A"/>
    <w:multiLevelType w:val="multilevel"/>
    <w:tmpl w:val="A4B2C8C0"/>
    <w:styleLink w:val="WWNum3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95F3088"/>
    <w:multiLevelType w:val="hybridMultilevel"/>
    <w:tmpl w:val="5BE4B8E2"/>
    <w:lvl w:ilvl="0" w:tplc="BBB49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094D"/>
    <w:multiLevelType w:val="multilevel"/>
    <w:tmpl w:val="EAEE70DA"/>
    <w:styleLink w:val="WWNum4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2B"/>
    <w:rsid w:val="000170AD"/>
    <w:rsid w:val="00045796"/>
    <w:rsid w:val="00135738"/>
    <w:rsid w:val="00197B86"/>
    <w:rsid w:val="00292800"/>
    <w:rsid w:val="002955DE"/>
    <w:rsid w:val="002E5CC0"/>
    <w:rsid w:val="00366716"/>
    <w:rsid w:val="00366DBD"/>
    <w:rsid w:val="003862A7"/>
    <w:rsid w:val="004928CB"/>
    <w:rsid w:val="00497495"/>
    <w:rsid w:val="004A11FE"/>
    <w:rsid w:val="004F553D"/>
    <w:rsid w:val="00554607"/>
    <w:rsid w:val="0069578A"/>
    <w:rsid w:val="0077284F"/>
    <w:rsid w:val="007A1B6D"/>
    <w:rsid w:val="007A20F6"/>
    <w:rsid w:val="0080019B"/>
    <w:rsid w:val="00800272"/>
    <w:rsid w:val="00907175"/>
    <w:rsid w:val="009B07B0"/>
    <w:rsid w:val="009C0775"/>
    <w:rsid w:val="00A26C44"/>
    <w:rsid w:val="00A72BA1"/>
    <w:rsid w:val="00AA68C7"/>
    <w:rsid w:val="00AB00C5"/>
    <w:rsid w:val="00B07A5B"/>
    <w:rsid w:val="00B467EA"/>
    <w:rsid w:val="00B51CA2"/>
    <w:rsid w:val="00B61EEF"/>
    <w:rsid w:val="00BE0255"/>
    <w:rsid w:val="00C4606F"/>
    <w:rsid w:val="00C80615"/>
    <w:rsid w:val="00CB62A7"/>
    <w:rsid w:val="00CC5425"/>
    <w:rsid w:val="00CC742B"/>
    <w:rsid w:val="00CE67E9"/>
    <w:rsid w:val="00CF4382"/>
    <w:rsid w:val="00D85B13"/>
    <w:rsid w:val="00DA6851"/>
    <w:rsid w:val="00DC313D"/>
    <w:rsid w:val="00E65C6C"/>
    <w:rsid w:val="00E84A99"/>
    <w:rsid w:val="00EB3450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1C73"/>
  <w15:chartTrackingRefBased/>
  <w15:docId w15:val="{F8311848-EFCA-454F-B30E-6E4CD4D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42B"/>
    <w:pPr>
      <w:spacing w:line="240" w:lineRule="auto"/>
    </w:pPr>
    <w:rPr>
      <w:kern w:val="2"/>
      <w:sz w:val="20"/>
      <w:szCs w:val="20"/>
      <w:lang w:val="mk-M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42B"/>
    <w:rPr>
      <w:kern w:val="2"/>
      <w:sz w:val="20"/>
      <w:szCs w:val="20"/>
      <w:lang w:val="mk-M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C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0F6"/>
    <w:pPr>
      <w:spacing w:after="0" w:line="240" w:lineRule="auto"/>
    </w:pPr>
  </w:style>
  <w:style w:type="paragraph" w:customStyle="1" w:styleId="Standard">
    <w:name w:val="Standard"/>
    <w:rsid w:val="00135738"/>
    <w:pPr>
      <w:suppressAutoHyphens/>
      <w:autoSpaceDN w:val="0"/>
      <w:spacing w:after="0" w:line="240" w:lineRule="auto"/>
      <w:jc w:val="both"/>
      <w:textAlignment w:val="baseline"/>
    </w:pPr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paragraph" w:styleId="ListParagraph">
    <w:name w:val="List Paragraph"/>
    <w:basedOn w:val="Standard"/>
    <w:link w:val="ListParagraphChar"/>
    <w:qFormat/>
    <w:rsid w:val="00135738"/>
    <w:pPr>
      <w:ind w:left="720"/>
    </w:pPr>
  </w:style>
  <w:style w:type="numbering" w:customStyle="1" w:styleId="WWNum38">
    <w:name w:val="WWNum38"/>
    <w:rsid w:val="00135738"/>
    <w:pPr>
      <w:numPr>
        <w:numId w:val="1"/>
      </w:numPr>
    </w:pPr>
  </w:style>
  <w:style w:type="character" w:customStyle="1" w:styleId="ListParagraphChar">
    <w:name w:val="List Paragraph Char"/>
    <w:link w:val="ListParagraph"/>
    <w:qFormat/>
    <w:locked/>
    <w:rsid w:val="00135738"/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numbering" w:customStyle="1" w:styleId="WWNum34">
    <w:name w:val="WWNum34"/>
    <w:rsid w:val="00366716"/>
    <w:pPr>
      <w:numPr>
        <w:numId w:val="3"/>
      </w:numPr>
    </w:pPr>
  </w:style>
  <w:style w:type="numbering" w:customStyle="1" w:styleId="WWNum49">
    <w:name w:val="WWNum49"/>
    <w:rsid w:val="00EB3450"/>
    <w:pPr>
      <w:numPr>
        <w:numId w:val="4"/>
      </w:numPr>
    </w:pPr>
  </w:style>
  <w:style w:type="numbering" w:customStyle="1" w:styleId="WWNum48">
    <w:name w:val="WWNum48"/>
    <w:rsid w:val="00B467EA"/>
    <w:pPr>
      <w:numPr>
        <w:numId w:val="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C44"/>
    <w:rPr>
      <w:b/>
      <w:bCs/>
      <w:kern w:val="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C44"/>
    <w:rPr>
      <w:b/>
      <w:bCs/>
      <w:kern w:val="2"/>
      <w:sz w:val="20"/>
      <w:szCs w:val="20"/>
      <w:lang w:val="mk-M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Trifunoska</dc:creator>
  <cp:keywords/>
  <dc:description/>
  <cp:lastModifiedBy>Natasa NJ. Jovanovska</cp:lastModifiedBy>
  <cp:revision>6</cp:revision>
  <cp:lastPrinted>2022-07-28T10:23:00Z</cp:lastPrinted>
  <dcterms:created xsi:type="dcterms:W3CDTF">2022-08-08T12:23:00Z</dcterms:created>
  <dcterms:modified xsi:type="dcterms:W3CDTF">2022-08-08T12:36:00Z</dcterms:modified>
</cp:coreProperties>
</file>